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E44F57" w:rsidRPr="00E44F57">
        <w:trPr>
          <w:tblCellSpacing w:w="0" w:type="dxa"/>
          <w:jc w:val="center"/>
        </w:trPr>
        <w:tc>
          <w:tcPr>
            <w:tcW w:w="0" w:type="auto"/>
            <w:hideMark/>
          </w:tcPr>
          <w:p w:rsidR="00E44F57" w:rsidRPr="00E44F57" w:rsidRDefault="00E44F57" w:rsidP="00E44F57"/>
        </w:tc>
      </w:tr>
      <w:tr w:rsidR="00E44F57" w:rsidRPr="00E44F57" w:rsidTr="00D574DA">
        <w:trPr>
          <w:tblCellSpacing w:w="0" w:type="dxa"/>
          <w:jc w:val="center"/>
        </w:trPr>
        <w:tc>
          <w:tcPr>
            <w:tcW w:w="9218" w:type="dxa"/>
            <w:hideMark/>
          </w:tcPr>
          <w:p w:rsidR="00E44F57" w:rsidRPr="00E44F57" w:rsidRDefault="00E44F57" w:rsidP="00E44F57"/>
        </w:tc>
      </w:tr>
      <w:tr w:rsidR="00E44F57" w:rsidRPr="00E44F57">
        <w:trPr>
          <w:tblCellSpacing w:w="0" w:type="dxa"/>
          <w:jc w:val="center"/>
        </w:trPr>
        <w:tc>
          <w:tcPr>
            <w:tcW w:w="0" w:type="auto"/>
            <w:hideMark/>
          </w:tcPr>
          <w:p w:rsidR="00E44F57" w:rsidRPr="00E44F57" w:rsidRDefault="00E44F57" w:rsidP="00E44F57"/>
        </w:tc>
      </w:tr>
      <w:tr w:rsidR="00E44F57" w:rsidRPr="00756BE3">
        <w:trPr>
          <w:trHeight w:val="3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4"/>
            </w:tblGrid>
            <w:tr w:rsidR="00D55D48" w:rsidRPr="00D55D4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55D48" w:rsidRPr="008057F7" w:rsidRDefault="00D55D48" w:rsidP="00D55D48">
                  <w:pPr>
                    <w:spacing w:before="4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bg-BG"/>
                    </w:rPr>
                  </w:pPr>
                  <w:r w:rsidRPr="008057F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НАРЕДБА</w:t>
                  </w:r>
                </w:p>
                <w:p w:rsidR="00D55D48" w:rsidRPr="008057F7" w:rsidRDefault="00D55D48" w:rsidP="00D55D48">
                  <w:pPr>
                    <w:spacing w:before="4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proofErr w:type="spellEnd"/>
                  <w:proofErr w:type="gram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реда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поставяне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временни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преместваеми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обекти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съоръжения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съгласно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чл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. 56 </w:t>
                  </w:r>
                  <w:proofErr w:type="spellStart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proofErr w:type="spellEnd"/>
                  <w:r w:rsidRPr="008057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ЗУТ</w:t>
                  </w:r>
                </w:p>
              </w:tc>
            </w:tr>
            <w:tr w:rsidR="00D55D48" w:rsidRPr="00D55D48">
              <w:trPr>
                <w:tblCellSpacing w:w="0" w:type="dxa"/>
                <w:jc w:val="center"/>
              </w:trPr>
              <w:tc>
                <w:tcPr>
                  <w:tcW w:w="120" w:type="dxa"/>
                  <w:hideMark/>
                </w:tcPr>
                <w:p w:rsidR="00D55D48" w:rsidRPr="00D55D48" w:rsidRDefault="00D55D48" w:rsidP="00D55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56BE3">
                    <w:rPr>
                      <w:rFonts w:ascii="Times New Roman" w:eastAsia="Times New Roman" w:hAnsi="Times New Roman" w:cs="Times New Roman"/>
                      <w:b/>
                      <w:noProof/>
                      <w:lang w:val="bg-BG" w:eastAsia="bg-BG"/>
                    </w:rPr>
                    <w:drawing>
                      <wp:inline distT="0" distB="0" distL="0" distR="0">
                        <wp:extent cx="9525" cy="28575"/>
                        <wp:effectExtent l="0" t="0" r="0" b="0"/>
                        <wp:docPr id="1" name="Picture 1" descr="http://www.shabla.info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habla.info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5D48" w:rsidRPr="00D55D4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55D48" w:rsidRPr="00D55D48" w:rsidRDefault="00D55D48" w:rsidP="00D55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64C1"/>
                    </w:rPr>
                  </w:pPr>
                </w:p>
              </w:tc>
            </w:tr>
            <w:tr w:rsidR="00D55D48" w:rsidRPr="00D55D48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55D48" w:rsidRPr="00D55D48" w:rsidRDefault="00D55D48" w:rsidP="00D55D4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756BE3">
                    <w:rPr>
                      <w:rFonts w:ascii="Times New Roman" w:eastAsia="Times New Roman" w:hAnsi="Times New Roman" w:cs="Times New Roman"/>
                      <w:noProof/>
                      <w:lang w:val="bg-BG" w:eastAsia="bg-BG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" name="Picture 2" descr="http://www.shabla.info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habla.info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5D48" w:rsidRPr="00D55D4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55D48" w:rsidRPr="00756BE3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</w:p>
                <w:p w:rsidR="00D55D48" w:rsidRPr="00756BE3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ПЪРВА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ОБЩИ РАЗПОРЕДБИ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Чл.1 (1)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Тази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урежда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начина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временни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маси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павилиони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кабини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каравани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спирки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градски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транспорт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осветителни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тела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рекламно-информационни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елементи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/РИЕ/,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слънцезащитени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устройства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/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чадъри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сенници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към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магазини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други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или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държавна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физически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юридически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лица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съответствие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разпоредбите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56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ЗУТ.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(2)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могат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тротоари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площадни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пространства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както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свободни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площи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имоти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без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това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пречи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основното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предназначение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които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(3)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ал.1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могат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държавни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които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е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осъществено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предвиденото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строителство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ПУП,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сеговото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осъществяване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(4)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временни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търговия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разбират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маси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възможност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монтиране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частично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защитно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покритие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леки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сглобяеми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павилиони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кабини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лека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подова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конструкция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модули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каравани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подиуми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други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ал.1,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които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трайно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закрепени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земята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нарушават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целостта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настилката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тях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които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изработени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съгласувани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главния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архитект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756BE3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ВТОРА</w:t>
                  </w:r>
                </w:p>
                <w:p w:rsidR="00DF28E8" w:rsidRDefault="00D55D48" w:rsidP="00DF28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ИЗГОТВЯНЕ НА СХЕМИ И ОПРЕДЕЛЯНЕ НА МЕСТА ЗА РАЗПОЛАГАНЕ НА ОБЕКТИТЕ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2 (1)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разполагане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временни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</w:t>
                  </w:r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–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изготвят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служебно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Дирекция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“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Териториално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селищно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устройство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Инвестиционна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политика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Екология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”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одобрени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главния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архитект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държавна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земя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става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съгласието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собственика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  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Към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архитектурните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временни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изготвят</w:t>
                  </w:r>
                  <w:proofErr w:type="spellEnd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  и</w:t>
                  </w:r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необходимите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места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осигуряване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прилежащата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инфраструктура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благоустрояване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пътища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настилки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озеленяване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сметосъбиране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вода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канализация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осветление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).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изработване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определят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допълнителни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места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временни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свързани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национални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общоградски</w:t>
                  </w:r>
                  <w:proofErr w:type="spellEnd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  и</w:t>
                  </w:r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селищни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празници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F28E8" w:rsidRDefault="00DF28E8" w:rsidP="00DF28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>(2) </w:t>
                  </w:r>
                  <w:r w:rsidRPr="00DF28E8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Отменена съгласно Решение №360/26.10.2016г. на Административен съд гр.Добрич</w:t>
                  </w:r>
                </w:p>
                <w:p w:rsidR="00D55D48" w:rsidRPr="00D55D48" w:rsidRDefault="00D55D48" w:rsidP="00DF28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28E8">
                    <w:rPr>
                      <w:rFonts w:ascii="Times New Roman" w:eastAsia="Times New Roman" w:hAnsi="Times New Roman" w:cs="Times New Roman"/>
                      <w:b/>
                    </w:rPr>
                    <w:br/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t>(3)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допуска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включване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–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предвидени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ПУП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благоустрояване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озеленяване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паркиране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условие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ще</w:t>
                  </w:r>
                  <w:proofErr w:type="spellEnd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реализира</w:t>
                  </w:r>
                  <w:proofErr w:type="spellEnd"/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lastRenderedPageBreak/>
                    <w:t>мероприятията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срок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години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ТРЕТА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БАЗИСНИ НАЕМНИ ЦЕНИ НА ОБЩИНСКИТЕ ТЕРЕНИ ЗА ПОСТАВЯНЕ НА ПРЕМЕСТВАЕМИ СЪОРЪЖЕНИЯ</w:t>
                  </w: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br/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3.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Базисните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наемни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цени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утвърждават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съвет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ЧЕТВЪРТА</w:t>
                  </w:r>
                </w:p>
                <w:p w:rsidR="00D55D48" w:rsidRPr="00FA3AB4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РЕД ЗА ПОЛУЧАВАНЕ НА РАЗРЕШИТЕЛНИ ЗА ПОСТАВЯНЕ НА СЪОРЪЖЕНИЯТА</w:t>
                  </w: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br/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Чл.4.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включени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публична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отдават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наем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провеждане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търг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търгове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5.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Терените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включени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</w:t>
                  </w:r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–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частна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публична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държавна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отдават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собственика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имота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спазване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изискванията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ограниченията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тази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 6</w:t>
                  </w:r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AE79B6">
                    <w:rPr>
                      <w:rFonts w:ascii="Times New Roman" w:eastAsia="Times New Roman" w:hAnsi="Times New Roman" w:cs="Times New Roman"/>
                      <w:lang w:val="bg-BG"/>
                    </w:rPr>
                    <w:t>/</w:t>
                  </w:r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3AB4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Изменен</w:t>
                  </w:r>
                  <w:r w:rsidR="00FA3AB4" w:rsidRPr="00DF28E8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 xml:space="preserve"> съгласно Решение №360/26.10.2016г. на Административен съд гр.Добрич</w:t>
                  </w:r>
                  <w:r w:rsidR="00AE79B6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/</w:t>
                  </w:r>
                  <w:r w:rsidR="00FA3AB4"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Физически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юридически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лица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могат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върху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имот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писмено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искане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архитект</w:t>
                  </w:r>
                  <w:proofErr w:type="spellEnd"/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придр</w:t>
                  </w:r>
                  <w:r w:rsidR="00FA3AB4">
                    <w:rPr>
                      <w:rFonts w:ascii="Times New Roman" w:eastAsia="Times New Roman" w:hAnsi="Times New Roman" w:cs="Times New Roman"/>
                    </w:rPr>
                    <w:t>ужено</w:t>
                  </w:r>
                  <w:proofErr w:type="spellEnd"/>
                  <w:r w:rsidR="00FA3AB4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="00FA3AB4">
                    <w:rPr>
                      <w:rFonts w:ascii="Times New Roman" w:eastAsia="Times New Roman" w:hAnsi="Times New Roman" w:cs="Times New Roman"/>
                    </w:rPr>
                    <w:t>документ</w:t>
                  </w:r>
                  <w:proofErr w:type="spellEnd"/>
                  <w:r w:rsidR="00FA3AB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FA3AB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="00FA3AB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FA3AB4">
                    <w:rPr>
                      <w:rFonts w:ascii="Times New Roman" w:eastAsia="Times New Roman" w:hAnsi="Times New Roman" w:cs="Times New Roman"/>
                    </w:rPr>
                    <w:t>собственост</w:t>
                  </w:r>
                  <w:proofErr w:type="spellEnd"/>
                  <w:r w:rsidR="00FA3AB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ПЕТА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РЕД ЗА ВЛИЗАНЕ В ЕКСПЛОАТАЦИЯ НА ПРЕМЕСТВАЕМИТЕ СЪОРЪЖЕНИЯ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7.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Трасирането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местата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</w:t>
                  </w:r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извършва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техническата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служба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Шабла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  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8.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приемат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въвеждат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действие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приемателна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комисия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назначена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със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заповед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кмета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въз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основа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писмено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искане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собственика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получил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разрешение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наличие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становищата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съответните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държавни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органи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контрол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/ХЕИ, МВР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др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./.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Чл.9. (1)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Въз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основа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съставения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констативен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протокол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кметът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издава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Удостоверение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ползване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строеж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/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предназначение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основание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 4, ал.1, т.т.2</w:t>
                  </w:r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,3,4</w:t>
                  </w:r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6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№ 6.    </w:t>
                  </w:r>
                </w:p>
                <w:p w:rsidR="001F357F" w:rsidRPr="00756BE3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ШЕСТА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РЕД ЗА ПРЕМАХВАНЕ НА НЕЗАКОННО ПОСТАВЕНИ ПРЕМЕСТВАЕМИ ОБЕКТИ И СЪОРЪЖЕНИЯ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10.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незаконни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подлежат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премахване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когато</w:t>
                  </w:r>
                  <w:proofErr w:type="spellEnd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:</w:t>
                  </w:r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1. 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отклонения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изискванията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настоящата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;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2. 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без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необходимите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одобрени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и/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или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без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разрешение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;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3. 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отклонения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одобрените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както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издаденото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разрешение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11.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Премахването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незаконно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поставените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преместваеми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извършва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следния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ред</w:t>
                  </w:r>
                  <w:proofErr w:type="spellEnd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:</w:t>
                  </w:r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1. 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Упълномощени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длъжностни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лица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кмета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съставят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констативен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протокол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>2. 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Въз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основа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съставения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констативен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протокол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кметът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десет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дневен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срок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издава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заповед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доброволно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премахване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незаконно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lastRenderedPageBreak/>
                    <w:t>3. 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изтичане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срока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доброволно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премахване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заповедта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т.2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превежда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изпълнение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определена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фирма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договор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сключен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Премахването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става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сметка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нарушителя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като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дължимите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суми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събират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Закона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събиране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държавните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вземания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F357F" w:rsidRPr="00756BE3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СЕДМА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АДМИНИСТРАТИВНО-НАКАЗАТЕЛНИ РАЗПОРЕДБИ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12.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нарушение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разпоредбите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тази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виновните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лица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налага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глоба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размер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50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500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лв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ако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подлежат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по-тежко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наказание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Чл.13. (1)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Актовете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установяване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нарушенията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съставят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длъжностни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лица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определени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със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заповед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кмета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  <w:t xml:space="preserve">(2)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Наказателните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постановления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издават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кмета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D55D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14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Административно-наказателното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производство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извършва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ЗАНН.</w:t>
                  </w:r>
                </w:p>
                <w:p w:rsidR="001F357F" w:rsidRPr="00756BE3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ГЛАВА ОСМА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  <w:b/>
                    </w:rPr>
                    <w:t>ПРЕХОДНИ И ЗАКЛЮЧИТЕЛНИ РАЗПОРЕДБИ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§ 1.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Сключените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договори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прекратяват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основанията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предвидени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ЗОС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правилника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неговото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прилагане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неплащане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определената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месечна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наемна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цена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два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последователни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месеца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належаща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необходимост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ползване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имота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нужди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изключване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имота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одобрена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главния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архитект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§ 2.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Всички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временни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постройки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разрешени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120-А 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ПЗР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ППЗТСУ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актуализират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правилата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тази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или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премахнат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шест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месеца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влизането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сила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тази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§ 3.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Изпълнението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възлага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кмета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след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одобряване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схемата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поставяне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обекти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съоръжения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главния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архитект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§ 4.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приема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основание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22, ал.1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ЗМСМА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чл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56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ЗУТ.</w:t>
                  </w:r>
                </w:p>
                <w:p w:rsidR="00D55D48" w:rsidRPr="00AE79B6" w:rsidRDefault="00D55D48" w:rsidP="00AE79B6">
                  <w:pPr>
                    <w:spacing w:before="100" w:beforeAutospacing="1" w:after="100" w:afterAutospacing="1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>§ 5</w:t>
                  </w:r>
                  <w:bookmarkStart w:id="0" w:name="_GoBack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е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приета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Решение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IV.II.1.1.  </w:t>
                  </w:r>
                  <w:proofErr w:type="spellStart"/>
                  <w:proofErr w:type="gram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proofErr w:type="gram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съвет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град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Шабла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протокол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№ 4/11.09.2002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година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AE79B6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 </w:t>
                  </w:r>
                  <w:r w:rsidR="00AE79B6" w:rsidRPr="00AE79B6">
                    <w:rPr>
                      <w:rFonts w:ascii="Times New Roman" w:eastAsia="Times New Roman" w:hAnsi="Times New Roman" w:cs="Times New Roman"/>
                      <w:lang w:val="bg-BG"/>
                    </w:rPr>
                    <w:t>Променена</w:t>
                  </w:r>
                  <w:r w:rsidR="00AE79B6" w:rsidRPr="00AE79B6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 съгласно Решение №360/26.10.2016г. на Административен съд гр.Добрич</w:t>
                  </w:r>
                </w:p>
                <w:bookmarkEnd w:id="0"/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§ 6. 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Настоящата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Наредба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влиза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сила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датата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приемането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Общински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съвет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град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D55D48">
                    <w:rPr>
                      <w:rFonts w:ascii="Times New Roman" w:eastAsia="Times New Roman" w:hAnsi="Times New Roman" w:cs="Times New Roman"/>
                    </w:rPr>
                    <w:t>Шабла</w:t>
                  </w:r>
                  <w:proofErr w:type="spellEnd"/>
                  <w:r w:rsidRPr="00D55D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D55D48" w:rsidRPr="00D55D48" w:rsidRDefault="00D55D48" w:rsidP="00D55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55D48" w:rsidRPr="00D55D48" w:rsidRDefault="00D55D48" w:rsidP="00D55D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55D4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E44F57" w:rsidRPr="00756BE3" w:rsidRDefault="00E44F57" w:rsidP="00E44F57"/>
        </w:tc>
      </w:tr>
      <w:tr w:rsidR="00E44F57" w:rsidRPr="00E44F57">
        <w:trPr>
          <w:tblCellSpacing w:w="0" w:type="dxa"/>
          <w:jc w:val="center"/>
        </w:trPr>
        <w:tc>
          <w:tcPr>
            <w:tcW w:w="0" w:type="auto"/>
            <w:hideMark/>
          </w:tcPr>
          <w:p w:rsidR="00F91F12" w:rsidRPr="00E44F57" w:rsidRDefault="00F91F12" w:rsidP="00E44F57"/>
        </w:tc>
      </w:tr>
      <w:tr w:rsidR="00D574DA" w:rsidRPr="00D574DA" w:rsidTr="00D574DA">
        <w:trPr>
          <w:tblCellSpacing w:w="0" w:type="dxa"/>
          <w:jc w:val="center"/>
        </w:trPr>
        <w:tc>
          <w:tcPr>
            <w:tcW w:w="0" w:type="auto"/>
            <w:hideMark/>
          </w:tcPr>
          <w:p w:rsidR="00D574DA" w:rsidRPr="00D574DA" w:rsidRDefault="00D574DA" w:rsidP="00D574DA"/>
        </w:tc>
      </w:tr>
      <w:tr w:rsidR="00D574DA" w:rsidRPr="00D574DA" w:rsidTr="00D574DA">
        <w:trPr>
          <w:tblCellSpacing w:w="0" w:type="dxa"/>
          <w:jc w:val="center"/>
        </w:trPr>
        <w:tc>
          <w:tcPr>
            <w:tcW w:w="0" w:type="auto"/>
            <w:hideMark/>
          </w:tcPr>
          <w:p w:rsidR="00D574DA" w:rsidRPr="00D574DA" w:rsidRDefault="00D574DA" w:rsidP="00D574DA"/>
        </w:tc>
      </w:tr>
      <w:tr w:rsidR="00D574DA" w:rsidRPr="00D574DA" w:rsidTr="00D574DA">
        <w:trPr>
          <w:tblCellSpacing w:w="0" w:type="dxa"/>
          <w:jc w:val="center"/>
        </w:trPr>
        <w:tc>
          <w:tcPr>
            <w:tcW w:w="0" w:type="auto"/>
            <w:hideMark/>
          </w:tcPr>
          <w:p w:rsidR="00D574DA" w:rsidRPr="00D574DA" w:rsidRDefault="00D574DA" w:rsidP="00D574DA"/>
        </w:tc>
      </w:tr>
      <w:tr w:rsidR="00D574DA" w:rsidRPr="00D574DA" w:rsidTr="00D574DA">
        <w:trPr>
          <w:tblCellSpacing w:w="0" w:type="dxa"/>
          <w:jc w:val="center"/>
        </w:trPr>
        <w:tc>
          <w:tcPr>
            <w:tcW w:w="0" w:type="auto"/>
            <w:hideMark/>
          </w:tcPr>
          <w:p w:rsidR="00D574DA" w:rsidRPr="00D574DA" w:rsidRDefault="00D574DA" w:rsidP="00D574DA"/>
        </w:tc>
      </w:tr>
      <w:tr w:rsidR="00D574DA" w:rsidRPr="00D574DA" w:rsidTr="00D574DA">
        <w:trPr>
          <w:tblCellSpacing w:w="0" w:type="dxa"/>
          <w:jc w:val="center"/>
        </w:trPr>
        <w:tc>
          <w:tcPr>
            <w:tcW w:w="0" w:type="auto"/>
            <w:hideMark/>
          </w:tcPr>
          <w:p w:rsidR="00D574DA" w:rsidRPr="00D574DA" w:rsidRDefault="00D574DA" w:rsidP="00D574DA"/>
        </w:tc>
      </w:tr>
    </w:tbl>
    <w:p w:rsidR="00F61851" w:rsidRDefault="00F61851"/>
    <w:sectPr w:rsidR="00F61851" w:rsidSect="00D55D4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F57"/>
    <w:rsid w:val="001F357F"/>
    <w:rsid w:val="00242BF2"/>
    <w:rsid w:val="00524125"/>
    <w:rsid w:val="005B3DF8"/>
    <w:rsid w:val="00756BE3"/>
    <w:rsid w:val="008057F7"/>
    <w:rsid w:val="00892B71"/>
    <w:rsid w:val="009265F4"/>
    <w:rsid w:val="00AE79B6"/>
    <w:rsid w:val="00CA1FFE"/>
    <w:rsid w:val="00D55D48"/>
    <w:rsid w:val="00D574DA"/>
    <w:rsid w:val="00DF28E8"/>
    <w:rsid w:val="00E44F57"/>
    <w:rsid w:val="00EF079A"/>
    <w:rsid w:val="00F61851"/>
    <w:rsid w:val="00F91F12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4F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866E-4F7D-4083-B8FF-7F4D1BF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kk</cp:lastModifiedBy>
  <cp:revision>14</cp:revision>
  <dcterms:created xsi:type="dcterms:W3CDTF">2010-07-15T15:42:00Z</dcterms:created>
  <dcterms:modified xsi:type="dcterms:W3CDTF">2017-05-29T05:17:00Z</dcterms:modified>
</cp:coreProperties>
</file>